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6122670" cy="10033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12267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Prendas icónicas que han contribuido a cambiar la historia de la mujer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Bogotá,</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1"/>
          <w:sz w:val="22"/>
          <w:szCs w:val="22"/>
          <w:highlight w:val="white"/>
          <w:rtl w:val="0"/>
        </w:rPr>
        <w:t xml:space="preserve">julio</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de 201</w:t>
      </w:r>
      <w:r w:rsidDel="00000000" w:rsidR="00000000" w:rsidRPr="00000000">
        <w:rPr>
          <w:rFonts w:ascii="Arial" w:cs="Arial" w:eastAsia="Arial" w:hAnsi="Arial"/>
          <w:b w:val="1"/>
          <w:sz w:val="22"/>
          <w:szCs w:val="22"/>
          <w:highlight w:val="white"/>
          <w:rtl w:val="0"/>
        </w:rPr>
        <w:t xml:space="preserve">8</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A lo largo de la historia, el rol de la mujer ha ido evolucionando, convirtiéndose poco a poco en lo que es hoy en día: un género libre, capaz de decidir y vivir como lo desea. Para llegar a este punto, se han desafiado los estándares “impuestos”, siendo uno de ellos la manera de vestir.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“La búsqueda de la equidad se efectúa en diferentes aspectos, permitiendo  que algo tan común como la ropa funcione para expresar nuestra individualidad y postura ante la sociedad. Por ello, algunas prendas se han convertido en íconos de la liberación femenina”, expresó Rocío Cardosa, project manager de </w:t>
      </w:r>
      <w:hyperlink r:id="rId7">
        <w:r w:rsidDel="00000000" w:rsidR="00000000" w:rsidRPr="00000000">
          <w:rPr>
            <w:rFonts w:ascii="Arial" w:cs="Arial" w:eastAsia="Arial" w:hAnsi="Arial"/>
            <w:color w:val="1155cc"/>
            <w:sz w:val="22"/>
            <w:szCs w:val="22"/>
            <w:highlight w:val="white"/>
            <w:u w:val="single"/>
            <w:rtl w:val="0"/>
          </w:rPr>
          <w:t xml:space="preserve">AdoptaUnMan</w:t>
        </w:r>
      </w:hyperlink>
      <w:r w:rsidDel="00000000" w:rsidR="00000000" w:rsidRPr="00000000">
        <w:rPr>
          <w:rFonts w:ascii="Arial" w:cs="Arial" w:eastAsia="Arial" w:hAnsi="Arial"/>
          <w:sz w:val="22"/>
          <w:szCs w:val="22"/>
          <w:highlight w:val="white"/>
          <w:rtl w:val="0"/>
        </w:rPr>
        <w:t xml:space="preserve"> en Colombia.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Bajo esta línea te compartimos tres de las prendas más icónicas que han contribuido a cambiar la historia de la mujer:</w:t>
      </w:r>
    </w:p>
    <w:p w:rsidR="00000000" w:rsidDel="00000000" w:rsidP="00000000" w:rsidRDefault="00000000" w:rsidRPr="00000000" w14:paraId="00000009">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Los pantalones </w:t>
      </w:r>
    </w:p>
    <w:p w:rsidR="00000000" w:rsidDel="00000000" w:rsidP="00000000" w:rsidRDefault="00000000" w:rsidRPr="00000000" w14:paraId="0000000B">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 prenda, que es la favorita de muchas, durante siglos fue exclusiva de los hombres, por lo que imaginarlos en el cuerpo femenino parecía casi imposible. Sin embargo, mujeres como Amelia Bloomer, </w:t>
      </w:r>
      <w:r w:rsidDel="00000000" w:rsidR="00000000" w:rsidRPr="00000000">
        <w:rPr>
          <w:rFonts w:ascii="Arial" w:cs="Arial" w:eastAsia="Arial" w:hAnsi="Arial"/>
          <w:sz w:val="22"/>
          <w:szCs w:val="22"/>
          <w:rtl w:val="0"/>
        </w:rPr>
        <w:t xml:space="preserve">una defensora estadounidense de los derechos de las mujeres,</w:t>
      </w:r>
      <w:r w:rsidDel="00000000" w:rsidR="00000000" w:rsidRPr="00000000">
        <w:rPr>
          <w:rFonts w:ascii="Arial" w:cs="Arial" w:eastAsia="Arial" w:hAnsi="Arial"/>
          <w:sz w:val="22"/>
          <w:szCs w:val="22"/>
          <w:rtl w:val="0"/>
        </w:rPr>
        <w:t xml:space="preserve"> decidieron cambiar eso. En 1850, Amelia popularizó el </w:t>
      </w:r>
      <w:r w:rsidDel="00000000" w:rsidR="00000000" w:rsidRPr="00000000">
        <w:rPr>
          <w:rFonts w:ascii="Arial" w:cs="Arial" w:eastAsia="Arial" w:hAnsi="Arial"/>
          <w:i w:val="1"/>
          <w:sz w:val="22"/>
          <w:szCs w:val="22"/>
          <w:rtl w:val="0"/>
        </w:rPr>
        <w:t xml:space="preserve">bloomer</w:t>
      </w:r>
      <w:r w:rsidDel="00000000" w:rsidR="00000000" w:rsidRPr="00000000">
        <w:rPr>
          <w:rFonts w:ascii="Arial" w:cs="Arial" w:eastAsia="Arial" w:hAnsi="Arial"/>
          <w:sz w:val="22"/>
          <w:szCs w:val="22"/>
          <w:rtl w:val="0"/>
        </w:rPr>
        <w:t xml:space="preserve">, pantalones bombachos que podían llegar a la rodilla o tobillos. Años más tarde, Coco Chanel hizo lo mismo con los pantalones como una pieza de moda. </w:t>
      </w:r>
    </w:p>
    <w:p w:rsidR="00000000" w:rsidDel="00000000" w:rsidP="00000000" w:rsidRDefault="00000000" w:rsidRPr="00000000" w14:paraId="0000000C">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Después, llegaron los </w:t>
      </w:r>
      <w:r w:rsidDel="00000000" w:rsidR="00000000" w:rsidRPr="00000000">
        <w:rPr>
          <w:rFonts w:ascii="Arial" w:cs="Arial" w:eastAsia="Arial" w:hAnsi="Arial"/>
          <w:i w:val="1"/>
          <w:sz w:val="22"/>
          <w:szCs w:val="22"/>
          <w:rtl w:val="0"/>
        </w:rPr>
        <w:t xml:space="preserve">jeans, </w:t>
      </w:r>
      <w:r w:rsidDel="00000000" w:rsidR="00000000" w:rsidRPr="00000000">
        <w:rPr>
          <w:rFonts w:ascii="Arial" w:cs="Arial" w:eastAsia="Arial" w:hAnsi="Arial"/>
          <w:sz w:val="22"/>
          <w:szCs w:val="22"/>
          <w:rtl w:val="0"/>
        </w:rPr>
        <w:t xml:space="preserve">que empezaron como un atuendo para las mujeres que trabajaban en las fábricas durante la Primera y Segunda Guerra Mundial, para transformarse en un símbolo de equidad de género y rebeldía durante los años sesenta y setenta, épocas caracterizadas por los movimientos sociales.</w:t>
      </w:r>
    </w:p>
    <w:p w:rsidR="00000000" w:rsidDel="00000000" w:rsidP="00000000" w:rsidRDefault="00000000" w:rsidRPr="00000000" w14:paraId="0000000E">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 bikini</w:t>
      </w:r>
    </w:p>
    <w:p w:rsidR="00000000" w:rsidDel="00000000" w:rsidP="00000000" w:rsidRDefault="00000000" w:rsidRPr="00000000" w14:paraId="0000001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pesar de que existen mosaicos antiguos que muestran a mujeres de la Antigua Roma en atuendos similares a un bikini, el traje de baño como prenda moderna se utilizó por primera vez   en 1946 en una piscina en París. Su modelo: la bailarina </w:t>
      </w:r>
      <w:r w:rsidDel="00000000" w:rsidR="00000000" w:rsidRPr="00000000">
        <w:rPr>
          <w:rFonts w:ascii="Arial" w:cs="Arial" w:eastAsia="Arial" w:hAnsi="Arial"/>
          <w:sz w:val="22"/>
          <w:szCs w:val="22"/>
          <w:rtl w:val="0"/>
        </w:rPr>
        <w:t xml:space="preserve">Micheline Bernardini.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sz w:val="22"/>
          <w:szCs w:val="22"/>
          <w:rtl w:val="0"/>
        </w:rPr>
        <w:t xml:space="preserve">n su época</w:t>
      </w:r>
      <w:r w:rsidDel="00000000" w:rsidR="00000000" w:rsidRPr="00000000">
        <w:rPr>
          <w:rFonts w:ascii="Arial" w:cs="Arial" w:eastAsia="Arial" w:hAnsi="Arial"/>
          <w:sz w:val="22"/>
          <w:szCs w:val="22"/>
          <w:rtl w:val="0"/>
        </w:rPr>
        <w:t xml:space="preserve">, llegó a ser señalado </w:t>
      </w:r>
      <w:r w:rsidDel="00000000" w:rsidR="00000000" w:rsidRPr="00000000">
        <w:rPr>
          <w:rFonts w:ascii="Arial" w:cs="Arial" w:eastAsia="Arial" w:hAnsi="Arial"/>
          <w:sz w:val="22"/>
          <w:szCs w:val="22"/>
          <w:rtl w:val="0"/>
        </w:rPr>
        <w:t xml:space="preserve">como algo “pecaminoso” y de “baja moral”, por lo que no logró popularizarse hasta los años sesenta, gracias a los movimientos feministas que luchaban por la libertad de mostrar su cuerpo. </w:t>
      </w:r>
    </w:p>
    <w:p w:rsidR="00000000" w:rsidDel="00000000" w:rsidP="00000000" w:rsidRDefault="00000000" w:rsidRPr="00000000" w14:paraId="00000011">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Siguiendo esta revolución, el diseñador</w:t>
      </w:r>
      <w:r w:rsidDel="00000000" w:rsidR="00000000" w:rsidRPr="00000000">
        <w:rPr>
          <w:rFonts w:ascii="Arial" w:cs="Arial" w:eastAsia="Arial" w:hAnsi="Arial"/>
          <w:sz w:val="22"/>
          <w:szCs w:val="22"/>
          <w:rtl w:val="0"/>
        </w:rPr>
        <w:t xml:space="preserve"> Rudi Gernreich presentó el monokini, una pieza única que cubría la parte inferior del torso que era sujetado por unos tirantes, dejando así el pecho al descubierto.</w:t>
      </w:r>
    </w:p>
    <w:p w:rsidR="00000000" w:rsidDel="00000000" w:rsidP="00000000" w:rsidRDefault="00000000" w:rsidRPr="00000000" w14:paraId="00000013">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 minifalda</w:t>
      </w:r>
    </w:p>
    <w:p w:rsidR="00000000" w:rsidDel="00000000" w:rsidP="00000000" w:rsidRDefault="00000000" w:rsidRPr="00000000" w14:paraId="00000015">
      <w:pPr>
        <w:contextualSpacing w:val="0"/>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Esta</w:t>
      </w:r>
      <w:r w:rsidDel="00000000" w:rsidR="00000000" w:rsidRPr="00000000">
        <w:rPr>
          <w:rFonts w:ascii="Arial" w:cs="Arial" w:eastAsia="Arial" w:hAnsi="Arial"/>
          <w:sz w:val="22"/>
          <w:szCs w:val="22"/>
          <w:rtl w:val="0"/>
        </w:rPr>
        <w:t xml:space="preserve"> prenda</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que para muchas simboliza el empoderamiento femenino, </w:t>
      </w:r>
      <w:r w:rsidDel="00000000" w:rsidR="00000000" w:rsidRPr="00000000">
        <w:rPr>
          <w:rFonts w:ascii="Arial" w:cs="Arial" w:eastAsia="Arial" w:hAnsi="Arial"/>
          <w:sz w:val="22"/>
          <w:szCs w:val="22"/>
          <w:rtl w:val="0"/>
        </w:rPr>
        <w:t xml:space="preserve">la vimos por primera vez en</w:t>
      </w:r>
      <w:r w:rsidDel="00000000" w:rsidR="00000000" w:rsidRPr="00000000">
        <w:rPr>
          <w:rFonts w:ascii="Arial" w:cs="Arial" w:eastAsia="Arial" w:hAnsi="Arial"/>
          <w:sz w:val="22"/>
          <w:szCs w:val="22"/>
          <w:rtl w:val="0"/>
        </w:rPr>
        <w:t xml:space="preserve"> la bailarina Josephine Baker, quien diseñó una falda de plátanos ficticios para usar en sus presentaciones</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20 años después el artista </w:t>
      </w:r>
      <w:r w:rsidDel="00000000" w:rsidR="00000000" w:rsidRPr="00000000">
        <w:rPr>
          <w:rFonts w:ascii="Arial" w:cs="Arial" w:eastAsia="Arial" w:hAnsi="Arial"/>
          <w:sz w:val="22"/>
          <w:szCs w:val="22"/>
          <w:rtl w:val="0"/>
        </w:rPr>
        <w:t xml:space="preserve">Earle K. Bergey le d</w:t>
      </w:r>
      <w:r w:rsidDel="00000000" w:rsidR="00000000" w:rsidRPr="00000000">
        <w:rPr>
          <w:rFonts w:ascii="Arial" w:cs="Arial" w:eastAsia="Arial" w:hAnsi="Arial"/>
          <w:sz w:val="22"/>
          <w:szCs w:val="22"/>
          <w:rtl w:val="0"/>
        </w:rPr>
        <w:t xml:space="preserve">io</w:t>
      </w:r>
      <w:r w:rsidDel="00000000" w:rsidR="00000000" w:rsidRPr="00000000">
        <w:rPr>
          <w:rFonts w:ascii="Arial" w:cs="Arial" w:eastAsia="Arial" w:hAnsi="Arial"/>
          <w:sz w:val="22"/>
          <w:szCs w:val="22"/>
          <w:rtl w:val="0"/>
        </w:rPr>
        <w:t xml:space="preserve"> la bienvenida </w:t>
      </w:r>
      <w:r w:rsidDel="00000000" w:rsidR="00000000" w:rsidRPr="00000000">
        <w:rPr>
          <w:rFonts w:ascii="Arial" w:cs="Arial" w:eastAsia="Arial" w:hAnsi="Arial"/>
          <w:sz w:val="22"/>
          <w:szCs w:val="22"/>
          <w:rtl w:val="0"/>
        </w:rPr>
        <w:t xml:space="preserve">oficial </w:t>
      </w:r>
      <w:r w:rsidDel="00000000" w:rsidR="00000000" w:rsidRPr="00000000">
        <w:rPr>
          <w:rFonts w:ascii="Arial" w:cs="Arial" w:eastAsia="Arial" w:hAnsi="Arial"/>
          <w:sz w:val="22"/>
          <w:szCs w:val="22"/>
          <w:rtl w:val="0"/>
        </w:rPr>
        <w:t xml:space="preserve">en sus ilustraciones </w:t>
      </w:r>
      <w:r w:rsidDel="00000000" w:rsidR="00000000" w:rsidRPr="00000000">
        <w:rPr>
          <w:rFonts w:ascii="Arial" w:cs="Arial" w:eastAsia="Arial" w:hAnsi="Arial"/>
          <w:i w:val="1"/>
          <w:sz w:val="22"/>
          <w:szCs w:val="22"/>
          <w:rtl w:val="0"/>
        </w:rPr>
        <w:t xml:space="preserve">pin-up. </w:t>
      </w:r>
    </w:p>
    <w:p w:rsidR="00000000" w:rsidDel="00000000" w:rsidP="00000000" w:rsidRDefault="00000000" w:rsidRPr="00000000" w14:paraId="00000016">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década de los cincuenta, las minifaldas eran sólo para la televisión y sus “chicas futuristas” en programas como </w:t>
      </w:r>
      <w:r w:rsidDel="00000000" w:rsidR="00000000" w:rsidRPr="00000000">
        <w:rPr>
          <w:rFonts w:ascii="Arial" w:cs="Arial" w:eastAsia="Arial" w:hAnsi="Arial"/>
          <w:i w:val="1"/>
          <w:sz w:val="22"/>
          <w:szCs w:val="22"/>
          <w:rtl w:val="0"/>
        </w:rPr>
        <w:t xml:space="preserve">Space Patrol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contextualSpacing w:val="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Diez años más tarde, pasó de ser algo que sólo se veía en la TV, a el símbolo de un movimiento por la lucha en la equidad de género, los derechos de la mujer y un signo de liberación femenina, gracias a que la mayoría de las protestantes la usaban en marchas y reuniones.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line="276"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Acerca de</w:t>
      </w:r>
      <w:hyperlink r:id="rId8">
        <w:r w:rsidDel="00000000" w:rsidR="00000000" w:rsidRPr="00000000">
          <w:rPr>
            <w:rFonts w:ascii="Arial" w:cs="Arial" w:eastAsia="Arial" w:hAnsi="Arial"/>
            <w:b w:val="1"/>
            <w:sz w:val="20"/>
            <w:szCs w:val="20"/>
            <w:rtl w:val="0"/>
          </w:rPr>
          <w:t xml:space="preserve"> </w:t>
        </w:r>
      </w:hyperlink>
      <w:hyperlink r:id="rId9">
        <w:r w:rsidDel="00000000" w:rsidR="00000000" w:rsidRPr="00000000">
          <w:rPr>
            <w:rFonts w:ascii="Arial" w:cs="Arial" w:eastAsia="Arial" w:hAnsi="Arial"/>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1D">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E">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Fundada por los emprendedores franceses Manuel Conejo y Florent Steiner, AdoptaUnMan ha seducido ya a más de 18.5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1F">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0">
      <w:pPr>
        <w:spacing w:line="276" w:lineRule="auto"/>
        <w:contextualSpacing w:val="0"/>
        <w:jc w:val="both"/>
        <w:rPr>
          <w:rFonts w:ascii="Cambria" w:cs="Cambria" w:eastAsia="Cambria" w:hAnsi="Cambria"/>
          <w:b w:val="1"/>
          <w:sz w:val="22"/>
          <w:szCs w:val="22"/>
          <w:highlight w:val="white"/>
        </w:rPr>
      </w:pPr>
      <w:r w:rsidDel="00000000" w:rsidR="00000000" w:rsidRPr="00000000">
        <w:rPr>
          <w:rFonts w:ascii="Arial" w:cs="Arial" w:eastAsia="Arial" w:hAnsi="Arial"/>
          <w:b w:val="1"/>
          <w:sz w:val="20"/>
          <w:szCs w:val="20"/>
          <w:rtl w:val="0"/>
        </w:rPr>
        <w:t xml:space="preserve">Síguenos en:</w:t>
      </w:r>
      <w:r w:rsidDel="00000000" w:rsidR="00000000" w:rsidRPr="00000000">
        <w:rPr>
          <w:rtl w:val="0"/>
        </w:rPr>
      </w:r>
    </w:p>
    <w:p w:rsidR="00000000" w:rsidDel="00000000" w:rsidP="00000000" w:rsidRDefault="00000000" w:rsidRPr="00000000" w14:paraId="00000021">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22">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hyperlink r:id="rId10">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23">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w:t>
      </w:r>
      <w:hyperlink r:id="rId11">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24">
      <w:pPr>
        <w:contextualSpacing w:val="0"/>
        <w:jc w:val="both"/>
        <w:rPr>
          <w:rFonts w:ascii="Arial" w:cs="Arial" w:eastAsia="Arial" w:hAnsi="Arial"/>
          <w:b w:val="1"/>
          <w:sz w:val="22"/>
          <w:szCs w:val="22"/>
        </w:rPr>
      </w:pPr>
      <w:r w:rsidDel="00000000" w:rsidR="00000000" w:rsidRPr="00000000">
        <w:rPr>
          <w:rFonts w:ascii="Arial" w:cs="Arial" w:eastAsia="Arial" w:hAnsi="Arial"/>
          <w:sz w:val="20"/>
          <w:szCs w:val="20"/>
          <w:rtl w:val="0"/>
        </w:rPr>
        <w:t xml:space="preserve">Instagram:</w:t>
      </w:r>
      <w:hyperlink r:id="rId12">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contextualSpacing w:val="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doptaunman?lang=en" TargetMode="External"/><Relationship Id="rId10" Type="http://schemas.openxmlformats.org/officeDocument/2006/relationships/hyperlink" Target="https://www.facebook.com/AdoptaUnMan/" TargetMode="External"/><Relationship Id="rId13" Type="http://schemas.openxmlformats.org/officeDocument/2006/relationships/header" Target="header1.xml"/><Relationship Id="rId12" Type="http://schemas.openxmlformats.org/officeDocument/2006/relationships/hyperlink" Target="https://www.instagram.com/adoptaun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adoptaunman.com/" TargetMode="External"/><Relationship Id="rId8" Type="http://schemas.openxmlformats.org/officeDocument/2006/relationships/hyperlink" Target="https://www.adoptaun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